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Львівська шахова академія організовує: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      Міжнародний шаховий табір на морі теплої Болгарії, у мальовничому місці курорту Сонячний Берег, приймає дитячий готельний комплекс "Teen Palace".</w:t>
        <w:br/>
        <w:br/>
        <w:t xml:space="preserve">      Ваші діти отримають унікальну можливість займатись шахами в команді міжнародного гросмейстера Назара Фірмана (організатор); заслуженого тренера України (визнаний кращим дитячим тренером світу за версією ФІДЕ у 2014 році) Грабінського Володимира та інших професійних, провідних дитячих тренерів України.</w:t>
        <w:br/>
        <w:br/>
        <w:t xml:space="preserve">     Передбачена розважальна авторська анімаційна програма, яка включає в себе велику кількість заходів: різномітні конкурси, вікторини, спортивні змагання, вечірні шоу-програми, інтелектуальні та розвиваючі гуртки.</w:t>
        <w:br/>
        <w:br/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Кількість місць у таборі обмежена!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    У вартість пакету шахового табору входять наступні послуги:</w:t>
        <w:br/>
        <w:br/>
        <w:t xml:space="preserve">- проживання з 12.06.2016 по 26.06.2016 в готельному комплексі "Teen Palace" (4,3,2-х місні номера);</w:t>
        <w:br/>
        <w:t xml:space="preserve">- 3-х разове харчування, шведська лінія;</w:t>
        <w:br/>
        <w:t xml:space="preserve">- шахові заняття 3-4 години в день, в залежності від віку та шахового рівня дітей;</w:t>
        <w:br/>
        <w:t xml:space="preserve">- робота аніматорів, інші розважальні та гурткові програми;</w:t>
        <w:br/>
        <w:t xml:space="preserve">- переїзд Львів-Сонячний Берег-Львів (автобус), виїзд зі Львова 11.06.2016 в 15-00, повернення, приїзд до Львова 27.06.2016 у 12-00;</w:t>
        <w:br/>
        <w:t xml:space="preserve">- запрошення, візові послуги, медичне страхування.</w:t>
        <w:br/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До уваги всіх бажаючих!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Вартість пакету - 399 євро з людини. </w:t>
        <w:br/>
        <w:t xml:space="preserve">Передоплата у розмірі 40 євро для підтвердження участі у таборі повинна бути здійснена до 15 травня 2016 року (повна оплата проводиться по факту прибуття у Болгарію). </w:t>
        <w:br/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Акція!!!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Для учасників табору, хто здійснить передоплату у розмірі 40 євро до 17.04.2016 року - отримає знижку в сумі передоплати (вартість табору в даному випадку буде 359 євро) + можливість отримати 2-х місні номери.</w:t>
        <w:br/>
        <w:br/>
        <w:t xml:space="preserve">Контактна особа (організатор табору) - Назар Фірман</w:t>
        <w:br/>
        <w:t xml:space="preserve">тел. +38 (098) 8508182</w:t>
        <w:br/>
        <w:t xml:space="preserve">nazarfirman@gmail.com</w:t>
        <w:br/>
        <w:t xml:space="preserve">Передоплату вносити на картковий рахунок Приват Банку:</w:t>
        <w:br/>
        <w:t xml:space="preserve">5457 0822 8033 5683 Назар Фірман, одночасно на електронну почтову скриньку надіслати повідомлення про час транзакції та за кого здійснена оплата.</w:t>
        <w:br/>
        <w:br/>
        <w:t xml:space="preserve">Що може бути краще ніж цілюще море, золотий пісок, тепле сонце, незабутні позитивні емоції у поєднані з здобутими неоціненними шаховими знаннями!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5867" w:dyaOrig="4240">
          <v:rect xmlns:o="urn:schemas-microsoft-com:office:office" xmlns:v="urn:schemas-microsoft-com:vml" id="rectole0000000000" style="width:293.350000pt;height:212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object w:dxaOrig="5795" w:dyaOrig="4187">
          <v:rect xmlns:o="urn:schemas-microsoft-com:office:office" xmlns:v="urn:schemas-microsoft-com:vml" id="rectole0000000001" style="width:289.750000pt;height:209.3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object w:dxaOrig="9253" w:dyaOrig="6686">
          <v:rect xmlns:o="urn:schemas-microsoft-com:office:office" xmlns:v="urn:schemas-microsoft-com:vml" id="rectole0000000002" style="width:462.650000pt;height:334.3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  <w:r>
        <w:object w:dxaOrig="9253" w:dyaOrig="6691">
          <v:rect xmlns:o="urn:schemas-microsoft-com:office:office" xmlns:v="urn:schemas-microsoft-com:vml" id="rectole0000000003" style="width:462.650000pt;height:334.5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  <w:r>
        <w:object w:dxaOrig="8640" w:dyaOrig="6264">
          <v:rect xmlns:o="urn:schemas-microsoft-com:office:office" xmlns:v="urn:schemas-microsoft-com:vml" id="rectole0000000004" style="width:432.000000pt;height:313.2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  <w:r>
        <w:object w:dxaOrig="9253" w:dyaOrig="6686">
          <v:rect xmlns:o="urn:schemas-microsoft-com:office:office" xmlns:v="urn:schemas-microsoft-com:vml" id="rectole0000000005" style="width:462.650000pt;height:334.3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styles.xml" Id="docRId13" Type="http://schemas.openxmlformats.org/officeDocument/2006/relationships/styles"/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5.bin" Id="docRId10" Type="http://schemas.openxmlformats.org/officeDocument/2006/relationships/oleObject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numbering.xml" Id="docRId12" Type="http://schemas.openxmlformats.org/officeDocument/2006/relationships/numbering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/Relationships>
</file>