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Bdr>
          <w:top w:color="auto" w:space="0" w:sz="0" w:val="none"/>
          <w:left w:color="auto" w:space="0" w:sz="0" w:val="none"/>
          <w:bottom w:color="auto" w:space="0" w:sz="0" w:val="none"/>
          <w:right w:color="auto" w:space="0" w:sz="0" w:val="none"/>
          <w:between w:color="auto" w:space="0" w:sz="0" w:val="none"/>
        </w:pBdr>
        <w:ind w:right="80"/>
        <w:jc w:val="center"/>
        <w:rPr>
          <w:sz w:val="20"/>
          <w:szCs w:val="20"/>
        </w:rPr>
      </w:pPr>
      <w:bookmarkStart w:colFirst="0" w:colLast="0" w:name="_jl1nz257dgh" w:id="0"/>
      <w:bookmarkEnd w:id="0"/>
      <w:r w:rsidDel="00000000" w:rsidR="00000000" w:rsidRPr="00000000">
        <w:rPr>
          <w:rtl w:val="0"/>
        </w:rPr>
        <w:t xml:space="preserve">Положення</w:t>
      </w:r>
      <w:r w:rsidDel="00000000" w:rsidR="00000000" w:rsidRPr="00000000">
        <w:rPr>
          <w:rtl w:val="0"/>
        </w:rPr>
      </w:r>
    </w:p>
    <w:p w:rsidR="00000000" w:rsidDel="00000000" w:rsidP="00000000" w:rsidRDefault="00000000" w:rsidRPr="00000000" w14:paraId="00000002">
      <w:pPr>
        <w:pStyle w:val="Heading1"/>
        <w:pBdr>
          <w:top w:color="auto" w:space="0" w:sz="0" w:val="none"/>
          <w:left w:color="auto" w:space="0" w:sz="0" w:val="none"/>
          <w:bottom w:color="auto" w:space="0" w:sz="0" w:val="none"/>
          <w:right w:color="auto" w:space="0" w:sz="0" w:val="none"/>
          <w:between w:color="auto" w:space="0" w:sz="0" w:val="none"/>
        </w:pBdr>
        <w:ind w:right="80"/>
        <w:jc w:val="center"/>
        <w:rPr/>
      </w:pPr>
      <w:bookmarkStart w:colFirst="0" w:colLast="0" w:name="_biiwnycxloft" w:id="1"/>
      <w:bookmarkEnd w:id="1"/>
      <w:r w:rsidDel="00000000" w:rsidR="00000000" w:rsidRPr="00000000">
        <w:rPr>
          <w:rFonts w:ascii="Georgia" w:cs="Georgia" w:eastAsia="Georgia" w:hAnsi="Georgia"/>
          <w:sz w:val="36"/>
          <w:szCs w:val="36"/>
          <w:rtl w:val="0"/>
        </w:rPr>
        <w:t xml:space="preserve">“II-</w:t>
      </w:r>
      <w:r w:rsidDel="00000000" w:rsidR="00000000" w:rsidRPr="00000000">
        <w:rPr>
          <w:sz w:val="36"/>
          <w:szCs w:val="36"/>
          <w:rtl w:val="0"/>
        </w:rPr>
        <w:t xml:space="preserve">й</w:t>
      </w:r>
      <w:r w:rsidDel="00000000" w:rsidR="00000000" w:rsidRPr="00000000">
        <w:rPr>
          <w:sz w:val="36"/>
          <w:szCs w:val="36"/>
          <w:rtl w:val="0"/>
        </w:rPr>
        <w:t xml:space="preserve"> відкритий кубок  м. Куп’янськ з швидких шахів</w:t>
      </w:r>
      <w:r w:rsidDel="00000000" w:rsidR="00000000" w:rsidRPr="00000000">
        <w:rPr>
          <w:rtl w:val="0"/>
        </w:rPr>
        <w:t xml:space="preserve">“</w:t>
      </w:r>
    </w:p>
    <w:p w:rsidR="00000000" w:rsidDel="00000000" w:rsidP="00000000" w:rsidRDefault="00000000" w:rsidRPr="00000000" w14:paraId="00000003">
      <w:pPr>
        <w:pStyle w:val="Heading2"/>
        <w:pBdr>
          <w:top w:color="auto" w:space="0" w:sz="0" w:val="none"/>
          <w:left w:color="auto" w:space="0" w:sz="0" w:val="none"/>
          <w:bottom w:color="auto" w:space="0" w:sz="0" w:val="none"/>
          <w:right w:color="auto" w:space="0" w:sz="0" w:val="none"/>
          <w:between w:color="auto" w:space="0" w:sz="0" w:val="none"/>
        </w:pBdr>
        <w:ind w:right="80"/>
        <w:rPr/>
      </w:pPr>
      <w:bookmarkStart w:colFirst="0" w:colLast="0" w:name="_4f6qz2uxytpz" w:id="2"/>
      <w:bookmarkEnd w:id="2"/>
      <w:r w:rsidDel="00000000" w:rsidR="00000000" w:rsidRPr="00000000">
        <w:rPr>
          <w:rtl w:val="0"/>
        </w:rPr>
        <w:t xml:space="preserve">1. Мета  проведення</w:t>
      </w:r>
    </w:p>
    <w:p w:rsidR="00000000" w:rsidDel="00000000" w:rsidP="00000000" w:rsidRDefault="00000000" w:rsidRPr="00000000" w14:paraId="00000004">
      <w:pPr>
        <w:numPr>
          <w:ilvl w:val="0"/>
          <w:numId w:val="1"/>
        </w:numPr>
        <w:pBdr>
          <w:top w:color="auto" w:space="0" w:sz="0" w:val="none"/>
          <w:left w:color="auto" w:space="0" w:sz="0" w:val="none"/>
          <w:bottom w:color="auto" w:space="0" w:sz="0" w:val="none"/>
          <w:right w:color="auto" w:space="0" w:sz="0" w:val="none"/>
          <w:between w:color="auto" w:space="0" w:sz="0" w:val="none"/>
        </w:pBdr>
        <w:spacing w:line="360" w:lineRule="auto"/>
        <w:ind w:left="720" w:right="80" w:hanging="360"/>
        <w:rPr>
          <w:sz w:val="20"/>
          <w:szCs w:val="20"/>
          <w:u w:val="none"/>
        </w:rPr>
      </w:pPr>
      <w:r w:rsidDel="00000000" w:rsidR="00000000" w:rsidRPr="00000000">
        <w:rPr>
          <w:sz w:val="20"/>
          <w:szCs w:val="20"/>
          <w:rtl w:val="0"/>
        </w:rPr>
        <w:t xml:space="preserve">популяризація  шахів  серед  мешканців м. Куп’янськ;</w:t>
      </w:r>
    </w:p>
    <w:p w:rsidR="00000000" w:rsidDel="00000000" w:rsidP="00000000" w:rsidRDefault="00000000" w:rsidRPr="00000000" w14:paraId="00000005">
      <w:pPr>
        <w:numPr>
          <w:ilvl w:val="0"/>
          <w:numId w:val="1"/>
        </w:numPr>
        <w:pBdr>
          <w:top w:color="auto" w:space="0" w:sz="0" w:val="none"/>
          <w:left w:color="auto" w:space="0" w:sz="0" w:val="none"/>
          <w:bottom w:color="auto" w:space="0" w:sz="0" w:val="none"/>
          <w:right w:color="auto" w:space="0" w:sz="0" w:val="none"/>
          <w:between w:color="auto" w:space="0" w:sz="0" w:val="none"/>
        </w:pBdr>
        <w:spacing w:line="360" w:lineRule="auto"/>
        <w:ind w:left="720" w:right="80" w:hanging="360"/>
        <w:rPr>
          <w:sz w:val="20"/>
          <w:szCs w:val="20"/>
          <w:u w:val="none"/>
        </w:rPr>
      </w:pPr>
      <w:r w:rsidDel="00000000" w:rsidR="00000000" w:rsidRPr="00000000">
        <w:rPr>
          <w:sz w:val="20"/>
          <w:szCs w:val="20"/>
          <w:rtl w:val="0"/>
        </w:rPr>
        <w:t xml:space="preserve">підвищення  спортивної  майстерності  шахістів  області;</w:t>
      </w:r>
    </w:p>
    <w:p w:rsidR="00000000" w:rsidDel="00000000" w:rsidP="00000000" w:rsidRDefault="00000000" w:rsidRPr="00000000" w14:paraId="00000006">
      <w:pPr>
        <w:numPr>
          <w:ilvl w:val="0"/>
          <w:numId w:val="1"/>
        </w:numPr>
        <w:pBdr>
          <w:top w:color="auto" w:space="0" w:sz="0" w:val="none"/>
          <w:left w:color="auto" w:space="0" w:sz="0" w:val="none"/>
          <w:bottom w:color="auto" w:space="0" w:sz="0" w:val="none"/>
          <w:right w:color="auto" w:space="0" w:sz="0" w:val="none"/>
          <w:between w:color="auto" w:space="0" w:sz="0" w:val="none"/>
        </w:pBdr>
        <w:spacing w:line="360" w:lineRule="auto"/>
        <w:ind w:left="720" w:right="80" w:hanging="360"/>
        <w:rPr>
          <w:sz w:val="20"/>
          <w:szCs w:val="20"/>
          <w:u w:val="none"/>
        </w:rPr>
      </w:pPr>
      <w:r w:rsidDel="00000000" w:rsidR="00000000" w:rsidRPr="00000000">
        <w:rPr>
          <w:sz w:val="20"/>
          <w:szCs w:val="20"/>
          <w:rtl w:val="0"/>
        </w:rPr>
        <w:t xml:space="preserve">можливість активного проведення часу для шахістів області.</w:t>
      </w:r>
    </w:p>
    <w:p w:rsidR="00000000" w:rsidDel="00000000" w:rsidP="00000000" w:rsidRDefault="00000000" w:rsidRPr="00000000" w14:paraId="00000007">
      <w:pPr>
        <w:pStyle w:val="Heading2"/>
        <w:pBdr>
          <w:top w:color="auto" w:space="0" w:sz="0" w:val="none"/>
          <w:left w:color="auto" w:space="0" w:sz="0" w:val="none"/>
          <w:bottom w:color="auto" w:space="0" w:sz="0" w:val="none"/>
          <w:right w:color="auto" w:space="0" w:sz="0" w:val="none"/>
          <w:between w:color="auto" w:space="0" w:sz="0" w:val="none"/>
        </w:pBdr>
        <w:ind w:right="80"/>
        <w:rPr>
          <w:sz w:val="20"/>
          <w:szCs w:val="20"/>
        </w:rPr>
      </w:pPr>
      <w:bookmarkStart w:colFirst="0" w:colLast="0" w:name="_iu5i6isi2ial" w:id="3"/>
      <w:bookmarkEnd w:id="3"/>
      <w:r w:rsidDel="00000000" w:rsidR="00000000" w:rsidRPr="00000000">
        <w:rPr>
          <w:rtl w:val="0"/>
        </w:rPr>
        <w:t xml:space="preserve">2. Керівництво  змаганнями та контактна інформація</w:t>
      </w:r>
      <w:r w:rsidDel="00000000" w:rsidR="00000000" w:rsidRPr="00000000">
        <w:rPr>
          <w:rtl w:val="0"/>
        </w:rPr>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sz w:val="20"/>
          <w:szCs w:val="20"/>
          <w:rtl w:val="0"/>
        </w:rPr>
        <w:t xml:space="preserve">Загальне  керівництво  здійснюється небайдужою молоддю міста Куп’янськ.  Головний  суддя змагань  -  Ревенко  В.І. – суддя  Національної  категорії.</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sz w:val="20"/>
          <w:szCs w:val="20"/>
          <w:rtl w:val="0"/>
        </w:rPr>
        <w:t xml:space="preserve">З питань реєстрації в турнірі, турнірного внеску та способу добратися до місця проведення турніру можете звернутися до Соболя Романа Романовича за телефоном + 380994036780</w:t>
      </w:r>
    </w:p>
    <w:p w:rsidR="00000000" w:rsidDel="00000000" w:rsidP="00000000" w:rsidRDefault="00000000" w:rsidRPr="00000000" w14:paraId="0000000A">
      <w:pPr>
        <w:pStyle w:val="Heading2"/>
        <w:pBdr>
          <w:top w:color="auto" w:space="0" w:sz="0" w:val="none"/>
          <w:left w:color="auto" w:space="0" w:sz="0" w:val="none"/>
          <w:bottom w:color="auto" w:space="0" w:sz="0" w:val="none"/>
          <w:right w:color="auto" w:space="0" w:sz="0" w:val="none"/>
          <w:between w:color="auto" w:space="0" w:sz="0" w:val="none"/>
        </w:pBdr>
        <w:ind w:right="80"/>
        <w:rPr>
          <w:sz w:val="20"/>
          <w:szCs w:val="20"/>
        </w:rPr>
      </w:pPr>
      <w:bookmarkStart w:colFirst="0" w:colLast="0" w:name="_lry6ef62l46i" w:id="4"/>
      <w:bookmarkEnd w:id="4"/>
      <w:r w:rsidDel="00000000" w:rsidR="00000000" w:rsidRPr="00000000">
        <w:rPr>
          <w:rtl w:val="0"/>
        </w:rPr>
        <w:t xml:space="preserve">3. Реестрація, час  і місце  проведення</w:t>
      </w:r>
      <w:r w:rsidDel="00000000" w:rsidR="00000000" w:rsidRPr="00000000">
        <w:rPr>
          <w:rtl w:val="0"/>
        </w:rPr>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sz w:val="20"/>
          <w:szCs w:val="20"/>
          <w:rtl w:val="0"/>
        </w:rPr>
        <w:t xml:space="preserve">Змагання  проводяться  03  серпня   2019  року  у  м.Куп’янськ  в  приміщенні  спортивної зали гімназії №1,  (м.Куп’янськ, вул. Харківська 26). </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sz w:val="20"/>
          <w:szCs w:val="20"/>
          <w:rtl w:val="0"/>
        </w:rPr>
        <w:t xml:space="preserve">Реєстрація  учасників  03  серпня,  субота  з 9.00 до  9.45 Початок  першого  туру о 10.10.  Орієнтовний час закiнчення о 15:20. Внески - Відкритий турнір 40грн, для школярів, та ветеранів  1959 року народження і старше 20 грн. Дитячий турнір без внесків.</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ind w:right="80"/>
        <w:rPr>
          <w:rFonts w:ascii="Roboto" w:cs="Roboto" w:eastAsia="Roboto" w:hAnsi="Roboto"/>
          <w:sz w:val="20"/>
          <w:szCs w:val="20"/>
        </w:rPr>
      </w:pPr>
      <w:r w:rsidDel="00000000" w:rsidR="00000000" w:rsidRPr="00000000">
        <w:rPr>
          <w:sz w:val="20"/>
          <w:szCs w:val="20"/>
          <w:rtl w:val="0"/>
        </w:rPr>
        <w:t xml:space="preserve">Для того щоб зареєструватись завчасно ви можете зателефонувати на номер </w:t>
      </w:r>
      <w:r w:rsidDel="00000000" w:rsidR="00000000" w:rsidRPr="00000000">
        <w:rPr>
          <w:b w:val="1"/>
          <w:sz w:val="20"/>
          <w:szCs w:val="20"/>
          <w:rtl w:val="0"/>
        </w:rPr>
        <w:t xml:space="preserve">+380994036780</w:t>
      </w:r>
      <w:r w:rsidDel="00000000" w:rsidR="00000000" w:rsidRPr="00000000">
        <w:rPr>
          <w:sz w:val="20"/>
          <w:szCs w:val="20"/>
          <w:rtl w:val="0"/>
        </w:rPr>
        <w:t xml:space="preserve"> або відправити електронний лист на пошту </w:t>
      </w:r>
      <w:hyperlink r:id="rId6">
        <w:r w:rsidDel="00000000" w:rsidR="00000000" w:rsidRPr="00000000">
          <w:rPr>
            <w:rFonts w:ascii="Roboto" w:cs="Roboto" w:eastAsia="Roboto" w:hAnsi="Roboto"/>
            <w:b w:val="1"/>
            <w:color w:val="1155cc"/>
            <w:sz w:val="20"/>
            <w:szCs w:val="20"/>
            <w:u w:val="single"/>
            <w:rtl w:val="0"/>
          </w:rPr>
          <w:t xml:space="preserve">kupyansk.chessclub@gmail.com</w:t>
        </w:r>
      </w:hyperlink>
      <w:r w:rsidDel="00000000" w:rsidR="00000000" w:rsidRPr="00000000">
        <w:rPr>
          <w:rFonts w:ascii="Roboto" w:cs="Roboto" w:eastAsia="Roboto" w:hAnsi="Roboto"/>
          <w:b w:val="1"/>
          <w:sz w:val="20"/>
          <w:szCs w:val="20"/>
          <w:rtl w:val="0"/>
        </w:rPr>
        <w:t xml:space="preserve"> </w:t>
      </w:r>
      <w:r w:rsidDel="00000000" w:rsidR="00000000" w:rsidRPr="00000000">
        <w:rPr>
          <w:rFonts w:ascii="Roboto" w:cs="Roboto" w:eastAsia="Roboto" w:hAnsi="Roboto"/>
          <w:sz w:val="20"/>
          <w:szCs w:val="20"/>
          <w:rtl w:val="0"/>
        </w:rPr>
        <w:t xml:space="preserve">з наступною інформацією -</w:t>
      </w:r>
    </w:p>
    <w:p w:rsidR="00000000" w:rsidDel="00000000" w:rsidP="00000000" w:rsidRDefault="00000000" w:rsidRPr="00000000" w14:paraId="0000000E">
      <w:pPr>
        <w:numPr>
          <w:ilvl w:val="0"/>
          <w:numId w:val="3"/>
        </w:numPr>
        <w:pBdr>
          <w:top w:color="auto" w:space="0" w:sz="0" w:val="none"/>
          <w:left w:color="auto" w:space="0" w:sz="0" w:val="none"/>
          <w:bottom w:color="auto" w:space="0" w:sz="0" w:val="none"/>
          <w:right w:color="auto" w:space="0" w:sz="0" w:val="none"/>
          <w:between w:color="auto" w:space="0" w:sz="0" w:val="none"/>
        </w:pBdr>
        <w:ind w:left="720" w:right="80" w:hanging="360"/>
        <w:rPr>
          <w:rFonts w:ascii="Roboto" w:cs="Roboto" w:eastAsia="Roboto" w:hAnsi="Roboto"/>
          <w:sz w:val="20"/>
          <w:szCs w:val="20"/>
          <w:u w:val="none"/>
        </w:rPr>
      </w:pPr>
      <w:r w:rsidDel="00000000" w:rsidR="00000000" w:rsidRPr="00000000">
        <w:rPr>
          <w:rFonts w:ascii="Roboto" w:cs="Roboto" w:eastAsia="Roboto" w:hAnsi="Roboto"/>
          <w:sz w:val="20"/>
          <w:szCs w:val="20"/>
          <w:rtl w:val="0"/>
        </w:rPr>
        <w:t xml:space="preserve">ПІБ</w:t>
      </w:r>
    </w:p>
    <w:p w:rsidR="00000000" w:rsidDel="00000000" w:rsidP="00000000" w:rsidRDefault="00000000" w:rsidRPr="00000000" w14:paraId="0000000F">
      <w:pPr>
        <w:numPr>
          <w:ilvl w:val="0"/>
          <w:numId w:val="3"/>
        </w:numPr>
        <w:pBdr>
          <w:top w:color="auto" w:space="0" w:sz="0" w:val="none"/>
          <w:left w:color="auto" w:space="0" w:sz="0" w:val="none"/>
          <w:bottom w:color="auto" w:space="0" w:sz="0" w:val="none"/>
          <w:right w:color="auto" w:space="0" w:sz="0" w:val="none"/>
          <w:between w:color="auto" w:space="0" w:sz="0" w:val="none"/>
        </w:pBdr>
        <w:ind w:left="720" w:right="80" w:hanging="360"/>
        <w:rPr>
          <w:rFonts w:ascii="Roboto" w:cs="Roboto" w:eastAsia="Roboto" w:hAnsi="Roboto"/>
          <w:sz w:val="20"/>
          <w:szCs w:val="20"/>
          <w:u w:val="none"/>
        </w:rPr>
      </w:pPr>
      <w:r w:rsidDel="00000000" w:rsidR="00000000" w:rsidRPr="00000000">
        <w:rPr>
          <w:rFonts w:ascii="Roboto" w:cs="Roboto" w:eastAsia="Roboto" w:hAnsi="Roboto"/>
          <w:sz w:val="20"/>
          <w:szCs w:val="20"/>
          <w:rtl w:val="0"/>
        </w:rPr>
        <w:t xml:space="preserve">Місто проживання</w:t>
      </w:r>
    </w:p>
    <w:p w:rsidR="00000000" w:rsidDel="00000000" w:rsidP="00000000" w:rsidRDefault="00000000" w:rsidRPr="00000000" w14:paraId="00000010">
      <w:pPr>
        <w:numPr>
          <w:ilvl w:val="0"/>
          <w:numId w:val="3"/>
        </w:numPr>
        <w:pBdr>
          <w:top w:color="auto" w:space="0" w:sz="0" w:val="none"/>
          <w:left w:color="auto" w:space="0" w:sz="0" w:val="none"/>
          <w:bottom w:color="auto" w:space="0" w:sz="0" w:val="none"/>
          <w:right w:color="auto" w:space="0" w:sz="0" w:val="none"/>
          <w:between w:color="auto" w:space="0" w:sz="0" w:val="none"/>
        </w:pBdr>
        <w:ind w:left="720" w:right="80" w:hanging="360"/>
        <w:rPr>
          <w:rFonts w:ascii="Roboto" w:cs="Roboto" w:eastAsia="Roboto" w:hAnsi="Roboto"/>
          <w:sz w:val="20"/>
          <w:szCs w:val="20"/>
          <w:u w:val="none"/>
        </w:rPr>
      </w:pPr>
      <w:r w:rsidDel="00000000" w:rsidR="00000000" w:rsidRPr="00000000">
        <w:rPr>
          <w:rFonts w:ascii="Roboto" w:cs="Roboto" w:eastAsia="Roboto" w:hAnsi="Roboto"/>
          <w:sz w:val="20"/>
          <w:szCs w:val="20"/>
          <w:rtl w:val="0"/>
        </w:rPr>
        <w:t xml:space="preserve">Шахове звання</w:t>
      </w:r>
    </w:p>
    <w:p w:rsidR="00000000" w:rsidDel="00000000" w:rsidP="00000000" w:rsidRDefault="00000000" w:rsidRPr="00000000" w14:paraId="00000011">
      <w:pPr>
        <w:numPr>
          <w:ilvl w:val="0"/>
          <w:numId w:val="3"/>
        </w:numPr>
        <w:pBdr>
          <w:top w:color="auto" w:space="0" w:sz="0" w:val="none"/>
          <w:left w:color="auto" w:space="0" w:sz="0" w:val="none"/>
          <w:bottom w:color="auto" w:space="0" w:sz="0" w:val="none"/>
          <w:right w:color="auto" w:space="0" w:sz="0" w:val="none"/>
          <w:between w:color="auto" w:space="0" w:sz="0" w:val="none"/>
        </w:pBdr>
        <w:ind w:left="720" w:right="80" w:hanging="360"/>
        <w:rPr>
          <w:rFonts w:ascii="Roboto" w:cs="Roboto" w:eastAsia="Roboto" w:hAnsi="Roboto"/>
          <w:sz w:val="20"/>
          <w:szCs w:val="20"/>
          <w:u w:val="none"/>
        </w:rPr>
      </w:pPr>
      <w:r w:rsidDel="00000000" w:rsidR="00000000" w:rsidRPr="00000000">
        <w:rPr>
          <w:rFonts w:ascii="Roboto" w:cs="Roboto" w:eastAsia="Roboto" w:hAnsi="Roboto"/>
          <w:sz w:val="20"/>
          <w:szCs w:val="20"/>
          <w:rtl w:val="0"/>
        </w:rPr>
        <w:t xml:space="preserve">Рік народження</w:t>
      </w:r>
      <w:r w:rsidDel="00000000" w:rsidR="00000000" w:rsidRPr="00000000">
        <w:rPr>
          <w:rtl w:val="0"/>
        </w:rPr>
      </w:r>
    </w:p>
    <w:p w:rsidR="00000000" w:rsidDel="00000000" w:rsidP="00000000" w:rsidRDefault="00000000" w:rsidRPr="00000000" w14:paraId="00000012">
      <w:pPr>
        <w:pStyle w:val="Heading2"/>
        <w:pBdr>
          <w:top w:color="auto" w:space="0" w:sz="0" w:val="none"/>
          <w:left w:color="auto" w:space="0" w:sz="0" w:val="none"/>
          <w:bottom w:color="auto" w:space="0" w:sz="0" w:val="none"/>
          <w:right w:color="auto" w:space="0" w:sz="0" w:val="none"/>
          <w:between w:color="auto" w:space="0" w:sz="0" w:val="none"/>
        </w:pBdr>
        <w:ind w:right="80"/>
        <w:rPr>
          <w:sz w:val="20"/>
          <w:szCs w:val="20"/>
        </w:rPr>
      </w:pPr>
      <w:bookmarkStart w:colFirst="0" w:colLast="0" w:name="_b7nrvbbpf1fz" w:id="5"/>
      <w:bookmarkEnd w:id="5"/>
      <w:r w:rsidDel="00000000" w:rsidR="00000000" w:rsidRPr="00000000">
        <w:rPr>
          <w:rtl w:val="0"/>
        </w:rPr>
        <w:t xml:space="preserve">4. Учасники  змагань,  вимоги  до  них  та  умови  проведення  турніру</w:t>
      </w:r>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sz w:val="20"/>
          <w:szCs w:val="20"/>
          <w:rtl w:val="0"/>
        </w:rPr>
        <w:t xml:space="preserve">Змагання  проводяться  згідно  з  «Правилами  шахів  ФІДЕ»  від  01 липня  2017  року.  До  участі  в  шаховому  турнірі  допускаються  усі  бажаючі  шахісти  ,  в  тому  числі  з  інших  федерацій.  Змагання  проводяться  за  швейцарською  системою  в  7  турів  (швидка  гра) з обрахуванням міжнародного рейтингу(FIDE).  Контроль  часу  15  хвилин   кожному  учаснику  до  кінця  партії  починаючи  з  першого  ходу.  Час  запізнення  на  партію  - 10  хвилин.   Визначення  пар  учасників наступного  туру  здійснюється  після  закінчення  усіх  партій  попереднього  туру  за  допомогою комп’ютерної  програми  ФІДЕ  swiss  master  5.5.  Учасникам  дозволяється  мати  мобільні  телефони на території  ігрового  майданчику або  інші  засоби  електронного  зв’язку,  в  вимкненому  стані.</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sz w:val="20"/>
          <w:szCs w:val="20"/>
          <w:rtl w:val="0"/>
        </w:rPr>
        <w:t xml:space="preserve">Ветеранами вважаються шахісти 1959-го року народження та старше.</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sz w:val="20"/>
          <w:szCs w:val="20"/>
          <w:rtl w:val="0"/>
        </w:rPr>
        <w:t xml:space="preserve">До участі у турнірі Б допускаються шахісти 2002-го року народження та молодше.</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sz w:val="20"/>
          <w:szCs w:val="20"/>
          <w:rtl w:val="0"/>
        </w:rPr>
        <w:t xml:space="preserve">У разі виникнення питань у органiзаторiв щодо відношення участника до однієї з категорій, питання будуть вирішуватися згідно документам(Паспорт, свідотство про народження, водійське посвідчення). </w:t>
      </w:r>
    </w:p>
    <w:p w:rsidR="00000000" w:rsidDel="00000000" w:rsidP="00000000" w:rsidRDefault="00000000" w:rsidRPr="00000000" w14:paraId="00000017">
      <w:pPr>
        <w:pStyle w:val="Heading2"/>
        <w:pBdr>
          <w:top w:color="auto" w:space="0" w:sz="0" w:val="none"/>
          <w:left w:color="auto" w:space="0" w:sz="0" w:val="none"/>
          <w:bottom w:color="auto" w:space="0" w:sz="0" w:val="none"/>
          <w:right w:color="auto" w:space="0" w:sz="0" w:val="none"/>
          <w:between w:color="auto" w:space="0" w:sz="0" w:val="none"/>
        </w:pBdr>
        <w:ind w:right="80"/>
        <w:rPr>
          <w:sz w:val="20"/>
          <w:szCs w:val="20"/>
        </w:rPr>
      </w:pPr>
      <w:bookmarkStart w:colFirst="0" w:colLast="0" w:name="_q16va3s23ey1" w:id="6"/>
      <w:bookmarkEnd w:id="6"/>
      <w:r w:rsidDel="00000000" w:rsidR="00000000" w:rsidRPr="00000000">
        <w:rPr>
          <w:rtl w:val="0"/>
        </w:rPr>
        <w:t xml:space="preserve">5. Визначення  переможців</w:t>
      </w:r>
      <w:r w:rsidDel="00000000" w:rsidR="00000000" w:rsidRPr="00000000">
        <w:rPr>
          <w:rtl w:val="0"/>
        </w:rPr>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ind w:right="80"/>
        <w:rPr>
          <w:b w:val="1"/>
          <w:sz w:val="20"/>
          <w:szCs w:val="20"/>
        </w:rPr>
      </w:pPr>
      <w:r w:rsidDel="00000000" w:rsidR="00000000" w:rsidRPr="00000000">
        <w:rPr>
          <w:sz w:val="20"/>
          <w:szCs w:val="20"/>
          <w:rtl w:val="0"/>
        </w:rPr>
        <w:t xml:space="preserve">Розподіл  місць  учасників  визначається  за  найбільшою  кількістю  набраних  очок  .У  разі  однакової   кількості  очок  у  двох  або  більше  учасниць  розподіл  місць  здійснюється за швейцарською системою у наступному порядку..                                                                                                                                                                              </w:t>
      </w:r>
      <w:r w:rsidDel="00000000" w:rsidR="00000000" w:rsidRPr="00000000">
        <w:rPr>
          <w:rtl w:val="0"/>
        </w:rPr>
      </w:r>
    </w:p>
    <w:p w:rsidR="00000000" w:rsidDel="00000000" w:rsidP="00000000" w:rsidRDefault="00000000" w:rsidRPr="00000000" w14:paraId="00000019">
      <w:pPr>
        <w:numPr>
          <w:ilvl w:val="0"/>
          <w:numId w:val="2"/>
        </w:numPr>
        <w:ind w:left="720" w:right="80" w:hanging="360"/>
        <w:rPr>
          <w:sz w:val="20"/>
          <w:szCs w:val="20"/>
          <w:u w:val="none"/>
        </w:rPr>
      </w:pPr>
      <w:r w:rsidDel="00000000" w:rsidR="00000000" w:rsidRPr="00000000">
        <w:rPr>
          <w:sz w:val="20"/>
          <w:szCs w:val="20"/>
          <w:rtl w:val="0"/>
        </w:rPr>
        <w:t xml:space="preserve">За кількістю набраних очок</w:t>
      </w:r>
      <w:r w:rsidDel="00000000" w:rsidR="00000000" w:rsidRPr="00000000">
        <w:rPr>
          <w:rtl w:val="0"/>
        </w:rPr>
      </w:r>
    </w:p>
    <w:p w:rsidR="00000000" w:rsidDel="00000000" w:rsidP="00000000" w:rsidRDefault="00000000" w:rsidRPr="00000000" w14:paraId="0000001A">
      <w:pPr>
        <w:numPr>
          <w:ilvl w:val="0"/>
          <w:numId w:val="2"/>
        </w:numPr>
        <w:pBdr>
          <w:top w:color="auto" w:space="0" w:sz="0" w:val="none"/>
          <w:bottom w:color="auto" w:space="0" w:sz="0" w:val="none"/>
          <w:right w:color="auto" w:space="0" w:sz="0" w:val="none"/>
          <w:between w:color="auto" w:space="0" w:sz="0" w:val="none"/>
        </w:pBdr>
        <w:ind w:left="720" w:right="80" w:hanging="360"/>
        <w:rPr>
          <w:sz w:val="20"/>
          <w:szCs w:val="20"/>
        </w:rPr>
      </w:pPr>
      <w:r w:rsidDel="00000000" w:rsidR="00000000" w:rsidRPr="00000000">
        <w:rPr>
          <w:sz w:val="20"/>
          <w:szCs w:val="20"/>
          <w:rtl w:val="0"/>
        </w:rPr>
        <w:t xml:space="preserve">За  системою  Бухгольця</w:t>
      </w:r>
    </w:p>
    <w:p w:rsidR="00000000" w:rsidDel="00000000" w:rsidP="00000000" w:rsidRDefault="00000000" w:rsidRPr="00000000" w14:paraId="0000001B">
      <w:pPr>
        <w:numPr>
          <w:ilvl w:val="0"/>
          <w:numId w:val="2"/>
        </w:numPr>
        <w:pBdr>
          <w:top w:color="auto" w:space="0" w:sz="0" w:val="none"/>
          <w:bottom w:color="auto" w:space="0" w:sz="0" w:val="none"/>
          <w:right w:color="auto" w:space="0" w:sz="0" w:val="none"/>
          <w:between w:color="auto" w:space="0" w:sz="0" w:val="none"/>
        </w:pBdr>
        <w:ind w:left="720" w:right="80" w:hanging="360"/>
        <w:rPr>
          <w:sz w:val="20"/>
          <w:szCs w:val="20"/>
        </w:rPr>
      </w:pPr>
      <w:r w:rsidDel="00000000" w:rsidR="00000000" w:rsidRPr="00000000">
        <w:rPr>
          <w:sz w:val="20"/>
          <w:szCs w:val="20"/>
          <w:rtl w:val="0"/>
        </w:rPr>
        <w:t xml:space="preserve">За  системою  Зоннеборна-Бергера</w:t>
      </w:r>
    </w:p>
    <w:p w:rsidR="00000000" w:rsidDel="00000000" w:rsidP="00000000" w:rsidRDefault="00000000" w:rsidRPr="00000000" w14:paraId="0000001C">
      <w:pPr>
        <w:numPr>
          <w:ilvl w:val="0"/>
          <w:numId w:val="2"/>
        </w:numPr>
        <w:pBdr>
          <w:top w:color="auto" w:space="0" w:sz="0" w:val="none"/>
          <w:left w:color="auto" w:space="0" w:sz="0" w:val="none"/>
          <w:bottom w:color="auto" w:space="0" w:sz="0" w:val="none"/>
          <w:right w:color="auto" w:space="0" w:sz="0" w:val="none"/>
          <w:between w:color="auto" w:space="0" w:sz="0" w:val="none"/>
        </w:pBdr>
        <w:ind w:left="720" w:right="80" w:hanging="360"/>
        <w:rPr>
          <w:sz w:val="20"/>
          <w:szCs w:val="20"/>
        </w:rPr>
      </w:pPr>
      <w:r w:rsidDel="00000000" w:rsidR="00000000" w:rsidRPr="00000000">
        <w:rPr>
          <w:sz w:val="20"/>
          <w:szCs w:val="20"/>
          <w:rtl w:val="0"/>
        </w:rPr>
        <w:t xml:space="preserve">За  прогресуючою  системою  очок</w:t>
      </w:r>
      <w:r w:rsidDel="00000000" w:rsidR="00000000" w:rsidRPr="00000000">
        <w:rPr>
          <w:rtl w:val="0"/>
        </w:rPr>
      </w:r>
    </w:p>
    <w:p w:rsidR="00000000" w:rsidDel="00000000" w:rsidP="00000000" w:rsidRDefault="00000000" w:rsidRPr="00000000" w14:paraId="0000001D">
      <w:pPr>
        <w:pStyle w:val="Heading2"/>
        <w:pBdr>
          <w:top w:color="auto" w:space="0" w:sz="0" w:val="none"/>
          <w:left w:color="auto" w:space="0" w:sz="0" w:val="none"/>
          <w:bottom w:color="auto" w:space="0" w:sz="0" w:val="none"/>
          <w:right w:color="auto" w:space="0" w:sz="0" w:val="none"/>
          <w:between w:color="auto" w:space="0" w:sz="0" w:val="none"/>
        </w:pBdr>
        <w:ind w:right="80"/>
        <w:rPr>
          <w:b w:val="1"/>
          <w:sz w:val="20"/>
          <w:szCs w:val="20"/>
        </w:rPr>
      </w:pPr>
      <w:bookmarkStart w:colFirst="0" w:colLast="0" w:name="_yv94hk9cdqjl" w:id="7"/>
      <w:bookmarkEnd w:id="7"/>
      <w:r w:rsidDel="00000000" w:rsidR="00000000" w:rsidRPr="00000000">
        <w:rPr>
          <w:rtl w:val="0"/>
        </w:rPr>
        <w:t xml:space="preserve">6. Нагородження</w:t>
      </w: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sz w:val="20"/>
          <w:szCs w:val="20"/>
          <w:rtl w:val="0"/>
        </w:rPr>
        <w:t xml:space="preserve">Цього року призовий фонд турніру складає 3500 грн.</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sz w:val="20"/>
          <w:szCs w:val="20"/>
          <w:rtl w:val="0"/>
        </w:rPr>
        <w:t xml:space="preserve">В турнірі А нагородження ведеться в 4-х категоріях: абсолютна, ветерани, куп’янчани, жінки. Один учасник може отримати лише один приз, більший. У випадку, коли учасник претендує на декілька призів, пріоритетним є абсолютна категорія.</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05"/>
        <w:gridCol w:w="1515"/>
        <w:gridCol w:w="1880"/>
        <w:gridCol w:w="1880"/>
        <w:gridCol w:w="1880"/>
        <w:tblGridChange w:id="0">
          <w:tblGrid>
            <w:gridCol w:w="2205"/>
            <w:gridCol w:w="1515"/>
            <w:gridCol w:w="1880"/>
            <w:gridCol w:w="1880"/>
            <w:gridCol w:w="18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Турнір А(Відкритий)</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Абсолютна</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Ветерани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Куп’янчани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Жінки</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1 місце</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500грн</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120грн</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120грн</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120грн</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2 місце</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400грн</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100грн</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100грн</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100грн</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3 місце</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300грн</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80грн</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80грн</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80грн</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4 місце</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200грн</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5 місце</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150грн</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6 місце</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120грн</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r>
      <w:tr>
        <w:trPr>
          <w:trHeight w:val="46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7 місце</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100грн</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8 місце</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80грн</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9 місце</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70грн</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10 місце</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50грн</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r>
    </w:tbl>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ind w:right="80"/>
        <w:rPr>
          <w:b w:val="1"/>
          <w:sz w:val="20"/>
          <w:szCs w:val="20"/>
        </w:rPr>
      </w:pPr>
      <w:r w:rsidDel="00000000" w:rsidR="00000000" w:rsidRPr="00000000">
        <w:rPr>
          <w:rtl w:val="0"/>
        </w:rPr>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rtl w:val="0"/>
        </w:rPr>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rtl w:val="0"/>
        </w:rPr>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rtl w:val="0"/>
        </w:rPr>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rtl w:val="0"/>
        </w:rPr>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rtl w:val="0"/>
        </w:rPr>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rtl w:val="0"/>
        </w:rPr>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rtl w:val="0"/>
        </w:rPr>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rtl w:val="0"/>
        </w:rPr>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rtl w:val="0"/>
        </w:rPr>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sz w:val="20"/>
          <w:szCs w:val="20"/>
          <w:rtl w:val="0"/>
        </w:rPr>
        <w:t xml:space="preserve">В турнірі Б нагородження проводиться тільки в одній, абсолютній, категорії.</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ind w:right="80"/>
        <w:rPr>
          <w:b w:val="1"/>
          <w:sz w:val="20"/>
          <w:szCs w:val="20"/>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Турнір Б(Дитячий)</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Абсолютна</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1 місце</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150грн</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2 місце</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100грн</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3 місце</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80грн</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4 місце</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60грн</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5 місце</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50грн</w:t>
            </w:r>
          </w:p>
        </w:tc>
      </w:tr>
    </w:tbl>
    <w:p w:rsidR="00000000" w:rsidDel="00000000" w:rsidP="00000000" w:rsidRDefault="00000000" w:rsidRPr="00000000" w14:paraId="00000070">
      <w:pPr>
        <w:ind w:right="80"/>
        <w:rPr>
          <w:sz w:val="20"/>
          <w:szCs w:val="20"/>
        </w:rPr>
      </w:pPr>
      <w:r w:rsidDel="00000000" w:rsidR="00000000" w:rsidRPr="00000000">
        <w:rPr>
          <w:rtl w:val="0"/>
        </w:rPr>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rtl w:val="0"/>
        </w:rPr>
      </w:r>
    </w:p>
    <w:p w:rsidR="00000000" w:rsidDel="00000000" w:rsidP="00000000" w:rsidRDefault="00000000" w:rsidRPr="00000000" w14:paraId="00000072">
      <w:pPr>
        <w:pStyle w:val="Heading2"/>
        <w:pBdr>
          <w:top w:color="auto" w:space="0" w:sz="0" w:val="none"/>
          <w:left w:color="auto" w:space="0" w:sz="0" w:val="none"/>
          <w:bottom w:color="auto" w:space="0" w:sz="0" w:val="none"/>
          <w:right w:color="auto" w:space="0" w:sz="0" w:val="none"/>
          <w:between w:color="auto" w:space="0" w:sz="0" w:val="none"/>
        </w:pBdr>
        <w:ind w:right="80"/>
        <w:rPr/>
      </w:pPr>
      <w:bookmarkStart w:colFirst="0" w:colLast="0" w:name="_q211gatmj0q2" w:id="8"/>
      <w:bookmarkEnd w:id="8"/>
      <w:r w:rsidDel="00000000" w:rsidR="00000000" w:rsidRPr="00000000">
        <w:rPr>
          <w:rtl w:val="0"/>
        </w:rPr>
        <w:t xml:space="preserve">7.Фінансування</w:t>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sz w:val="20"/>
          <w:szCs w:val="20"/>
          <w:rtl w:val="0"/>
        </w:rPr>
        <w:t xml:space="preserve">Витрати  на  харчування  суддів,  придбання  дипломів  та  медалей  за  рахунок  небайдужої молоді м. Куп’янськ.  Всі  витрати  по  відрядженню  спортсменів  та  тренерів  за  рахунок  організацій,  що  відряджають.</w:t>
      </w:r>
    </w:p>
    <w:p w:rsidR="00000000" w:rsidDel="00000000" w:rsidP="00000000" w:rsidRDefault="00000000" w:rsidRPr="00000000" w14:paraId="00000074">
      <w:pPr>
        <w:pStyle w:val="Heading2"/>
        <w:pBdr>
          <w:top w:color="auto" w:space="0" w:sz="0" w:val="none"/>
          <w:left w:color="auto" w:space="0" w:sz="0" w:val="none"/>
          <w:bottom w:color="auto" w:space="0" w:sz="0" w:val="none"/>
          <w:right w:color="auto" w:space="0" w:sz="0" w:val="none"/>
          <w:between w:color="auto" w:space="0" w:sz="0" w:val="none"/>
        </w:pBdr>
        <w:ind w:right="80"/>
        <w:rPr>
          <w:sz w:val="20"/>
          <w:szCs w:val="20"/>
        </w:rPr>
      </w:pPr>
      <w:bookmarkStart w:colFirst="0" w:colLast="0" w:name="_cr4b6ql1nj3q" w:id="9"/>
      <w:bookmarkEnd w:id="9"/>
      <w:r w:rsidDel="00000000" w:rsidR="00000000" w:rsidRPr="00000000">
        <w:rPr>
          <w:rtl w:val="0"/>
        </w:rPr>
        <w:t xml:space="preserve">8.Безпека  під  час  проведення  змагань. Підготовка  спортивних  споруд</w:t>
      </w:r>
      <w:r w:rsidDel="00000000" w:rsidR="00000000" w:rsidRPr="00000000">
        <w:rPr>
          <w:rtl w:val="0"/>
        </w:rPr>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sz w:val="20"/>
          <w:szCs w:val="20"/>
          <w:rtl w:val="0"/>
        </w:rPr>
        <w:t xml:space="preserve">Відповідно  до  постанови  Кабінету  Міністрів  України  від  18.12.1998 року  №2025  «Про  порядок  підготовки  спортивних  місць  для  проведення  масових  спортивних  і  культурно-видовищних  заходів»  підготовка спортивних  споруд  покладається  на  їх  власників,  контроль  за  підготовкою  споруд  і  забезпечення  безпеки  під  час  проведення  заходу  здійснює  головний  суддя  змагань.  Власник  спортивної  споруди  не  менш  ніж  за  4  години  до  початку  змагань  зобов'язаний  подати  до  головної суддівської  колегії  акт  про  її  готовність  до  проведення  змагань.  Невиконання  вимог,  передбачених  цим  пунктом,  що  стали  причиною  виникнення  надзвичайних  обставин  під  час  проведення  змагань,  тягне  за  собою  відповідальність  згідно  законодавчих  актів  України.</w:t>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rtl w:val="0"/>
        </w:rPr>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rtl w:val="0"/>
        </w:rPr>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ind w:right="80"/>
        <w:rPr>
          <w:b w:val="1"/>
          <w:sz w:val="20"/>
          <w:szCs w:val="20"/>
        </w:rPr>
      </w:pPr>
      <w:r w:rsidDel="00000000" w:rsidR="00000000" w:rsidRPr="00000000">
        <w:rPr>
          <w:b w:val="1"/>
          <w:sz w:val="20"/>
          <w:szCs w:val="20"/>
          <w:rtl w:val="0"/>
        </w:rPr>
        <w:t xml:space="preserve">          </w:t>
        <w:tab/>
        <w:t xml:space="preserve">Даний  Регламент  є  офіційним  викликом  на  змагання</w:t>
      </w:r>
    </w:p>
    <w:p w:rsidR="00000000" w:rsidDel="00000000" w:rsidP="00000000" w:rsidRDefault="00000000" w:rsidRPr="00000000" w14:paraId="00000079">
      <w:pPr>
        <w:ind w:right="80"/>
        <w:rPr>
          <w:sz w:val="20"/>
          <w:szCs w:val="20"/>
        </w:rPr>
      </w:pPr>
      <w:r w:rsidDel="00000000" w:rsidR="00000000" w:rsidRPr="00000000">
        <w:rPr>
          <w:rtl w:val="0"/>
        </w:rPr>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rtl w:val="0"/>
        </w:rPr>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ind w:right="80"/>
        <w:rPr>
          <w:sz w:val="20"/>
          <w:szCs w:val="20"/>
        </w:rPr>
      </w:pPr>
      <w:r w:rsidDel="00000000" w:rsidR="00000000" w:rsidRPr="00000000">
        <w:rPr>
          <w:sz w:val="20"/>
          <w:szCs w:val="20"/>
          <w:rtl w:val="0"/>
        </w:rPr>
        <w:t xml:space="preserve"> </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kupyansk.chessclub@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